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54BE" w14:textId="77777777" w:rsidR="001E1FC8" w:rsidRDefault="001E1FC8" w:rsidP="00716960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Puchar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Wytrzymałości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Amaterów</w:t>
      </w:r>
      <w:proofErr w:type="spellEnd"/>
    </w:p>
    <w:p w14:paraId="54BFAAF4" w14:textId="77777777" w:rsidR="001E1FC8" w:rsidRDefault="001E1FC8" w:rsidP="00716960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Przepisy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techniczne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2026</w:t>
      </w:r>
    </w:p>
    <w:p w14:paraId="580E39BE" w14:textId="77777777" w:rsidR="001E1FC8" w:rsidRDefault="001E1FC8" w:rsidP="00716960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dla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samochodów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biorących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udział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w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Amateur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Endurance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Cup</w:t>
      </w:r>
    </w:p>
    <w:p w14:paraId="34CA0577" w14:textId="77777777" w:rsidR="001E1FC8" w:rsidRDefault="001E1FC8" w:rsidP="00716960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45407F18" w14:textId="77777777" w:rsidR="001E1FC8" w:rsidRDefault="001E1FC8" w:rsidP="00716960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5658A5E4" w14:textId="77777777" w:rsidR="001E1FC8" w:rsidRDefault="001E1FC8" w:rsidP="00716960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I. WAGONY:</w:t>
      </w:r>
    </w:p>
    <w:p w14:paraId="21E1046E" w14:textId="77777777" w:rsidR="001E1FC8" w:rsidRDefault="001E1FC8" w:rsidP="00716960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I.1. </w:t>
      </w:r>
      <w:r>
        <w:rPr>
          <w:rFonts w:ascii="Calibri" w:hAnsi="Calibri" w:cs="Calibri"/>
          <w:color w:val="000000"/>
          <w:sz w:val="22"/>
          <w:szCs w:val="22"/>
        </w:rPr>
        <w:t xml:space="preserve">Samochody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spełniające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następujące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warunki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mogą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zostać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zgłoszone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Amateur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Endurance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Cup:</w:t>
      </w:r>
    </w:p>
    <w:p w14:paraId="5073B951" w14:textId="77777777" w:rsidR="001E1FC8" w:rsidRDefault="001E1FC8" w:rsidP="00716960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a)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pojazd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jest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zatwierdzony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do ruchu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drogowego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co jest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udokumentowane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przez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TP. Typ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nadwozia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silnik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pojazdu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zarejestrowanego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muszą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odpowiadać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złożonemu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TP.</w:t>
      </w:r>
    </w:p>
    <w:p w14:paraId="02992B9A" w14:textId="77777777" w:rsidR="001E1FC8" w:rsidRDefault="001E1FC8" w:rsidP="00716960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b)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pojazd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otrzymuje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kartę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sportową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FIA lub podobny dokument.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Jeśli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samochód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posiada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żadnych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tych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dokumentów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organizator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wystawi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kartę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kierowcy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danymi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technicznymi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492A57E2" w14:textId="77777777" w:rsidR="001E1FC8" w:rsidRDefault="001E1FC8" w:rsidP="00716960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c)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spełnia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przepisy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techniczne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opisane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określone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niniejszym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artykule</w:t>
      </w:r>
      <w:proofErr w:type="spellEnd"/>
    </w:p>
    <w:p w14:paraId="787A67FF" w14:textId="77777777" w:rsidR="001E1FC8" w:rsidRDefault="001E1FC8" w:rsidP="00716960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Pojazd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musi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mieć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przypisanej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tablicy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rejestracyjnej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Komisarz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techniczny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dyrektor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wyścigu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mają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pełne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uprawnienia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by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dopuszczać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pojazdu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wykazującego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oznaki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niebezpiecznej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konstrukcji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76912D61" w14:textId="77777777" w:rsidR="001E1FC8" w:rsidRDefault="001E1FC8" w:rsidP="001E1FC8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668D5EED" w14:textId="77777777" w:rsidR="001E1FC8" w:rsidRDefault="001E1FC8" w:rsidP="00282F81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II. PODZIAŁ KLAS:</w:t>
      </w:r>
    </w:p>
    <w:p w14:paraId="587F9CF6" w14:textId="77777777" w:rsidR="001E1FC8" w:rsidRDefault="001E1FC8" w:rsidP="00282F81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Ostateczna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klasyfikacja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pojazdu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zostanie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podjęta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inspekcji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technicznej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Organizator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prawo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przypisać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pojazd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innej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kategorii na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podstawie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ustalenia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niezgodności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wymaganiami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danej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kategorii. W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przypadku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sporu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ostateczną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decyzję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podejmuje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dyrektor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wyścigu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32B574AA" w14:textId="77777777" w:rsidR="001E1FC8" w:rsidRDefault="001E1FC8" w:rsidP="00282F81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76497BCA" w14:textId="77777777" w:rsidR="001E1FC8" w:rsidRDefault="001E1FC8" w:rsidP="00282F81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Grupa A –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pojazdy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do 1600 cm3</w:t>
      </w:r>
    </w:p>
    <w:p w14:paraId="7C1EF302" w14:textId="77777777" w:rsidR="001E1FC8" w:rsidRDefault="001E1FC8" w:rsidP="00282F81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Grupa B –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pojazdy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do 2000 cm3.</w:t>
      </w:r>
    </w:p>
    <w:p w14:paraId="4A5D92E1" w14:textId="77777777" w:rsidR="001E1FC8" w:rsidRDefault="001E1FC8" w:rsidP="00282F81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Grupa C –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pojazdy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do 2500 cm3.</w:t>
      </w:r>
    </w:p>
    <w:p w14:paraId="02D8A506" w14:textId="77777777" w:rsidR="001E1FC8" w:rsidRDefault="001E1FC8" w:rsidP="00282F81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Grupa D –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pojazdy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do 3000 cm3.</w:t>
      </w:r>
    </w:p>
    <w:p w14:paraId="4C3F7E24" w14:textId="77777777" w:rsidR="001E1FC8" w:rsidRDefault="001E1FC8" w:rsidP="00282F81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Grupa E –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pojazdy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powyżej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3000 cm3.</w:t>
      </w:r>
    </w:p>
    <w:p w14:paraId="0ED16DFC" w14:textId="77777777" w:rsidR="001E1FC8" w:rsidRDefault="001E1FC8" w:rsidP="001E1FC8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02178AE0" w14:textId="77777777" w:rsidR="001E1FC8" w:rsidRDefault="001E1FC8" w:rsidP="009E43FB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Pojazdy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turbodoładowaniem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pojemność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silnika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jest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mnożona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przez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ten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współczynnik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5C37687F" w14:textId="77777777" w:rsidR="001E1FC8" w:rsidRDefault="001E1FC8" w:rsidP="009E43FB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Silniki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benzynowe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benzynowe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) –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koef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  1,4</w:t>
      </w:r>
    </w:p>
    <w:p w14:paraId="54B0C806" w14:textId="77777777" w:rsidR="001E1FC8" w:rsidRDefault="001E1FC8" w:rsidP="009E43FB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Silniki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diesla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coef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  1,2</w:t>
      </w:r>
    </w:p>
    <w:p w14:paraId="1CF670A3" w14:textId="77777777" w:rsidR="001E1FC8" w:rsidRDefault="001E1FC8" w:rsidP="009E43FB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Silniki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obrotowe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tłokowe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Wankel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) –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koefa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  2,0 to suma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objętości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wszystkich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komór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spalania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zgodnie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specyfikacją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producenta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silnika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354BEA9E" w14:textId="77777777" w:rsidR="001E1FC8" w:rsidRDefault="001E1FC8" w:rsidP="009E43FB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3C747B3A" w14:textId="77777777" w:rsidR="001E1FC8" w:rsidRDefault="001E1FC8" w:rsidP="009E43FB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III. OBOWIĄZKOWY SPRZĘT BEZPIECZEŃSTWA DLA PASAŻERÓW</w:t>
      </w:r>
    </w:p>
    <w:p w14:paraId="5BA83304" w14:textId="77777777" w:rsidR="001E1FC8" w:rsidRDefault="001E1FC8" w:rsidP="009E43FB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 xml:space="preserve">III.1.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Rozłącznik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elektryczny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nie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jest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obowiązkowy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lecz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zalecany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sterowany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od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wewnątrz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z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zewnątrz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gdzie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oznaczony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jest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niebieskim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trójkątem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czerwonym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błyskawicą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Trzeba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go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podłączyć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żeby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wyłączyć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działający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silnik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tylko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odłączyć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akumulator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131C0FE8" w14:textId="77777777" w:rsidR="001E1FC8" w:rsidRDefault="001E1FC8" w:rsidP="00791B51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lastRenderedPageBreak/>
        <w:t xml:space="preserve">III.2.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Obowiązkowe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zapięcie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pasów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bezpieczeństwa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na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cztery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sześciu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punktów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Punkty do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mocowania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ciała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dwa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do pasa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biodrowego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dwa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lub jeden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symetryczny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z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siodełkiem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na pasy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naramienne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ZABRONIONE </w:t>
      </w:r>
      <w:r>
        <w:rPr>
          <w:rFonts w:ascii="Calibri" w:hAnsi="Calibri" w:cs="Calibri"/>
          <w:color w:val="000000"/>
          <w:sz w:val="22"/>
          <w:szCs w:val="22"/>
        </w:rPr>
        <w:t xml:space="preserve">jest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przypinanie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pasów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bezpieczeństwa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fotelików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lub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uchwytów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369AE5D0" w14:textId="77777777" w:rsidR="001E1FC8" w:rsidRDefault="001E1FC8" w:rsidP="00791B51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 xml:space="preserve">III.3.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Sprawna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gaśnica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masie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2 kg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zamocowana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tak, aby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wytrzymała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przeciążenie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przypadku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uderzenia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pojazdu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Jednocześnie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musi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być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przymocowany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taki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sposób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aby w razie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potrzeby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można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go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było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zwolnić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bez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użycia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narzędzi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 </w:t>
      </w:r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Z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ważnym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testem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powtórkowym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!!</w:t>
      </w:r>
    </w:p>
    <w:p w14:paraId="6F6F2EAE" w14:textId="77777777" w:rsidR="001E1FC8" w:rsidRDefault="001E1FC8" w:rsidP="00791B51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 xml:space="preserve">III.4.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Wyposażenie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jeźdźca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–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kask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homologowany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do ruchu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drogowego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ogrodniczki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rękawice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pełnymi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palcami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zamknięte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buty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Zalecamy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niepalną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bieliznę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175ECC6A" w14:textId="77777777" w:rsidR="001E1FC8" w:rsidRDefault="001E1FC8" w:rsidP="00791B51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 xml:space="preserve">III.5. </w:t>
      </w:r>
      <w:r>
        <w:rPr>
          <w:rFonts w:ascii="Calibri" w:hAnsi="Calibri" w:cs="Calibri"/>
          <w:color w:val="000000"/>
          <w:sz w:val="22"/>
          <w:szCs w:val="22"/>
        </w:rPr>
        <w:t xml:space="preserve">Oko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holownicze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oznaczone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czerwoną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strzałką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przodu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 z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tyłu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49236A3A" w14:textId="77777777" w:rsidR="001E1FC8" w:rsidRDefault="001E1FC8" w:rsidP="001E1FC8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6EAF16B9" w14:textId="77777777" w:rsidR="001E1FC8" w:rsidRDefault="001E1FC8" w:rsidP="001E1FC8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033DC8E8" w14:textId="77777777" w:rsidR="001E1FC8" w:rsidRDefault="001E1FC8" w:rsidP="00651006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IV. SPECJALNE WYŚCIGI grup A–B–C–D–E –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dozwolone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modyfikacje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:</w:t>
      </w:r>
    </w:p>
    <w:p w14:paraId="745113B1" w14:textId="77777777" w:rsidR="001E1FC8" w:rsidRDefault="001E1FC8" w:rsidP="00651006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IV. 1. CIAŁO</w:t>
      </w:r>
    </w:p>
    <w:p w14:paraId="656D5BF8" w14:textId="77777777" w:rsidR="001E1FC8" w:rsidRDefault="001E1FC8" w:rsidP="00651006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Podstawowy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szkielet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masowo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produkowanego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samochodu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musi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być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użyty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Na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potrzeby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tego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artykułu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pojazd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produkowany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częściach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tzw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zestawy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) 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indywidualnie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używany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eksploatacji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jest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uznawany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samochód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produkcyjny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Tylko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maska,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drzwi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błotniki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dach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pokrywa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bagażnika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zderzaki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mogą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być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odciążone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materiał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jest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dowolny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można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go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zmieniać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kształt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Drzwi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można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odciążyć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tylko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wtedy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gdy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pojazd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jest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wyposażony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pełnowymiarową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ramę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Dodatkowo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można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zdjąć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mocowania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tylnych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siedzeń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usunąć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miejsce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na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przechowywanie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rezerwy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ale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musi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być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ono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zasłonięte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Dozwolone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elementy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ozdobne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aerodynamiczne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Przednia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szyba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musi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być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laminowana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bezpieczna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oryginalna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Inne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obiektywy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można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zastąpić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plastikowymi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(MAKROLON) 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minimalnej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grubości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3 mm.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Wszystkie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okna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muszą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być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przezroczyste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Przesuwane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okna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włączone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Użycie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materiałów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tłuczących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(PLEKSIGLAS) jest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zabronione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Jeśli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pojazdu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zamontowano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szyberdach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należy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go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zdjąć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otwór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zatkać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Maska lub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schowek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bagażowy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muszą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być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wyposażone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w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co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najmniej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dwa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zapięcia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oryginalne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zamki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mogą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być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zdjęte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Drzwi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kierowcy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przedniego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pasażera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muszą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pozostać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sprawne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(do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otwierania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z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zewnątrz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),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pozostałe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mogą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być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spawane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lub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zakryte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Dozwolone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jest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użycie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pneumatycznych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podnośników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ale bez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cylindra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sprężonego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powietrza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pojeździe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Pojazd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musi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być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wyposażony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 oba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lusterka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wsteczne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Reflektory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można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zdjąć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oryginalny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silnik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osłony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podwozia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można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zdjąć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 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Wszystkie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części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izolacji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tworzywa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sztuczne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można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usunąć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Wewnętrzne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błotniki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można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usunąć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lub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zmodyfikować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przypadku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poszerzenia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zewnętrznych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błotników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co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zmienia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szerokość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opon.</w:t>
      </w:r>
    </w:p>
    <w:p w14:paraId="3B7793C4" w14:textId="77777777" w:rsidR="001E1FC8" w:rsidRDefault="001E1FC8" w:rsidP="00C27BFB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IV. 2. WNĘTRZE</w:t>
      </w:r>
    </w:p>
    <w:p w14:paraId="756C8CA2" w14:textId="77777777" w:rsidR="001E1FC8" w:rsidRDefault="001E1FC8" w:rsidP="00C27BFB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Wnętrze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pojazdu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może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być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modyfikowane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tablica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instrumentów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powinna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być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dowolna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bez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ostrych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krawędzi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tapicerka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zgodnie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klauzulą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IV.15.1) oraz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materiały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dźwiękoszczelne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mogą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zostać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usunięte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Kierownica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jest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dowolna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poduszki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powietrzne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otwierane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szyby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oświetlenie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wewnętrzne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można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zdjąć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zalecana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jest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siatka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boczna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605C1929" w14:textId="77777777" w:rsidR="001E1FC8" w:rsidRDefault="001E1FC8" w:rsidP="00C27BFB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IV. 3. PODWOZIE</w:t>
      </w:r>
    </w:p>
    <w:p w14:paraId="483E32E7" w14:textId="77777777" w:rsidR="001E1FC8" w:rsidRDefault="001E1FC8" w:rsidP="00C27BFB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Można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zmieniać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osi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mocowania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ramion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materiał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Dozwolone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jest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przechowywanie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metalowych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pudełkach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Amortyzatory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sprężyny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arbitralne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podobnie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jak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lokalizacja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montaż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Stabilizator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jego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przymocowanie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arbitralne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Prześwit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samochodu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jest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ograniczony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ale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żadna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część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pojazdu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może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dotykać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ziemi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jeśli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wszystkie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opony po jednej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stronie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pojazdu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spuszczone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1533AF2C" w14:textId="77777777" w:rsidR="001E1FC8" w:rsidRDefault="001E1FC8" w:rsidP="00C27BFB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IV. 4. KOŁA I OPONY</w:t>
      </w:r>
    </w:p>
    <w:p w14:paraId="601277E5" w14:textId="378823A1" w:rsidR="001E1FC8" w:rsidRDefault="001E1FC8" w:rsidP="001E1FC8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lastRenderedPageBreak/>
        <w:t>Można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używać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wyłącznie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opon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zatwierdzonych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jazdy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na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drogach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publicznych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wyposażonych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homologację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 (DOT, ECE) i w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maksymalnym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rozmiarze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zalecanym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przez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producenta.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ograniczenia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liczby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opon.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Zawodnik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przychodzi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na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inspekcję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techniczną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wszystkimi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oponami,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które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mogą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być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używane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wyścigu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czyli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także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mokrym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zestawem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na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tarczach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pod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tarczami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dozwolone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klocki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Koło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zapasowe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jest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obowiązkowe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6830C53D" w14:textId="77777777" w:rsidR="001E1FC8" w:rsidRDefault="001E1FC8" w:rsidP="00C86A68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76CC10CC" wp14:editId="0DAD67DC">
            <wp:extent cx="4876800" cy="2854960"/>
            <wp:effectExtent l="0" t="0" r="0" b="2540"/>
            <wp:docPr id="1897978111" name="Obrázek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8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103F5" w14:textId="77777777" w:rsidR="001E1FC8" w:rsidRDefault="001E1FC8" w:rsidP="00C86A68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026B08B7" w14:textId="320BA1F5" w:rsidR="001E1FC8" w:rsidRDefault="001E1FC8" w:rsidP="00C86A68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Najszerszy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punkt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całego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koła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może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wychodzić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poza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najszerszy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punkt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błotnika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samochodu w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planie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ugruntowania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5F3A09D4" w14:textId="77777777" w:rsidR="001E1FC8" w:rsidRDefault="001E1FC8" w:rsidP="00C86A68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patrz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Rysunek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)</w:t>
      </w:r>
    </w:p>
    <w:p w14:paraId="7B1B090F" w14:textId="0F41FD0F" w:rsidR="001E1FC8" w:rsidRDefault="001E1FC8" w:rsidP="001E1FC8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 </w:t>
      </w:r>
    </w:p>
    <w:p w14:paraId="2D8CA78E" w14:textId="77777777" w:rsidR="001E1FC8" w:rsidRDefault="001E1FC8" w:rsidP="00AD3DC3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IV. 5. HAMULCE</w:t>
      </w:r>
    </w:p>
    <w:p w14:paraId="0804C83C" w14:textId="77777777" w:rsidR="001E1FC8" w:rsidRDefault="001E1FC8" w:rsidP="00AD3DC3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System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hamulcowy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jest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dowolny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pod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warunkiem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że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</w:rPr>
        <w:t>obejmuje</w:t>
      </w:r>
      <w:proofErr w:type="spellEnd"/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co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najmniej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dwa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niezależne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obwody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sterowane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tym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samym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pedałem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3A824A83" w14:textId="77777777" w:rsidR="001E1FC8" w:rsidRDefault="001E1FC8" w:rsidP="00AD3DC3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IV. 6. PROCEDURA</w:t>
      </w:r>
    </w:p>
    <w:p w14:paraId="33715D94" w14:textId="77777777" w:rsidR="001E1FC8" w:rsidRDefault="001E1FC8" w:rsidP="00AD3DC3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Sterowanie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może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być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arbitralne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1F1FD660" w14:textId="77777777" w:rsidR="001E1FC8" w:rsidRDefault="001E1FC8" w:rsidP="00AD3DC3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IV. 7. SILNIK</w:t>
      </w:r>
    </w:p>
    <w:p w14:paraId="236FF206" w14:textId="77777777" w:rsidR="001E1FC8" w:rsidRDefault="001E1FC8" w:rsidP="00AD3DC3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Wszystkie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samochody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muszą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używać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silnika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dla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danego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typu i modelu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marki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samochodu.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Materiał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łożyska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silnika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jest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arbitralny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miejsce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łożyska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musi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pozostać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oryginalne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W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przeciwnym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razie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wszystkie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modyfikacje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bez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ograniczeń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tylko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zawartość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silnika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muszą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odpowiadać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klasyfikacji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danej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klasie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18A49F28" w14:textId="77777777" w:rsidR="001E1FC8" w:rsidRDefault="001E1FC8" w:rsidP="00AD3DC3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IV. 8. SPRZĘGŁO</w:t>
      </w:r>
    </w:p>
    <w:p w14:paraId="7E7A863D" w14:textId="77777777" w:rsidR="001E1FC8" w:rsidRDefault="001E1FC8" w:rsidP="00AD3DC3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Materiał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liczba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listew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dowolne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3D7CC1A7" w14:textId="77777777" w:rsidR="001E1FC8" w:rsidRDefault="001E1FC8" w:rsidP="00AD3DC3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IV. 9. SKRZYNIA BIEGÓW</w:t>
      </w:r>
    </w:p>
    <w:p w14:paraId="761E084B" w14:textId="77777777" w:rsidR="001E1FC8" w:rsidRDefault="001E1FC8" w:rsidP="00AD3DC3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Liczba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biegów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biegów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arbitralna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system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zmiany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biegów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jest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arbitralny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65A2EF53" w14:textId="77777777" w:rsidR="001E1FC8" w:rsidRDefault="001E1FC8" w:rsidP="00A859D9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IV. 10. RÓŻNICA RÓŻNICOWA</w:t>
      </w:r>
    </w:p>
    <w:p w14:paraId="36C42AEE" w14:textId="77777777" w:rsidR="001E1FC8" w:rsidRDefault="001E1FC8" w:rsidP="00A859D9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lastRenderedPageBreak/>
        <w:t>Dozwolony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jest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mechanizm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różnicowy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ograniczonym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poślizgu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1EAFB5E5" w14:textId="77777777" w:rsidR="001E1FC8" w:rsidRDefault="001E1FC8" w:rsidP="00A859D9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IV. 11.DRIVE</w:t>
      </w:r>
    </w:p>
    <w:p w14:paraId="55E1C5F7" w14:textId="77777777" w:rsidR="001E1FC8" w:rsidRDefault="001E1FC8" w:rsidP="00A859D9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Koncepcja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napędu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musi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być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zachowana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tak jak w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oryginalnym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pojeździe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51748246" w14:textId="77777777" w:rsidR="001E1FC8" w:rsidRDefault="001E1FC8" w:rsidP="00A859D9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IV. 12. ELEKTRONIKA, ZAPŁON</w:t>
      </w:r>
    </w:p>
    <w:p w14:paraId="7DB6A6B2" w14:textId="77777777" w:rsidR="001E1FC8" w:rsidRDefault="001E1FC8" w:rsidP="00A859D9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Jakiejkolwiek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Każdą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baterię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można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przesunąć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ale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musi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być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prawidłowo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zamocowana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aby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wytrzymać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przeciążenie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samochodu w razie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uderzenia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Rozruch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musi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odbywać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się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z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zasilania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elektrycznego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pojeździe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kontrolowanego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przez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kierowcę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siedzącego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kierownicą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Rozłącznik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musi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być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również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obsługiwany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z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zewnątrz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pojazdu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oznaczony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zgodnie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 FIA.</w:t>
      </w:r>
    </w:p>
    <w:p w14:paraId="5F10A923" w14:textId="77777777" w:rsidR="001E1FC8" w:rsidRDefault="001E1FC8" w:rsidP="00C11C36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IV. 13. ZBIORNIK, PALIWO</w:t>
      </w:r>
    </w:p>
    <w:p w14:paraId="1D359156" w14:textId="77777777" w:rsidR="001E1FC8" w:rsidRDefault="001E1FC8" w:rsidP="00C11C36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Oryginalny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zbiornik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jest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standardowy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lub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można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użyć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czołgu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wyścigowego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homologacją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Paliwo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benzyna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olej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napędowy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dodatki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arbitralne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Przewód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paliwowy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 pompa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muszą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znajdować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się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na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zewnątrz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wnętrza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samochodu.</w:t>
      </w:r>
    </w:p>
    <w:p w14:paraId="2B15601E" w14:textId="77777777" w:rsidR="001E1FC8" w:rsidRDefault="001E1FC8" w:rsidP="00C11C36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IV. 14. WYDECH</w:t>
      </w:r>
    </w:p>
    <w:p w14:paraId="6E152A80" w14:textId="77777777" w:rsidR="001E1FC8" w:rsidRDefault="001E1FC8" w:rsidP="00C11C36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Przewód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wydechowy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w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tym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rury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spustowe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jest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arbitralny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Tylny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wylot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może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przekraczać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konturu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nadwozia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więcej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niż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10 cm. Spaliny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mogą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być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emitowane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tylko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na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końcu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układu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Boczne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wyloty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wydechowe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mogą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wychodzić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poza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kształt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korpusu.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Spełnia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maksymalny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poziom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szumu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który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jest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ustawiony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na 100 dB +-2 dB.</w:t>
      </w:r>
    </w:p>
    <w:p w14:paraId="6DC330E7" w14:textId="77777777" w:rsidR="001E1FC8" w:rsidRDefault="001E1FC8" w:rsidP="000D1905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IV. 15. OBOWIĄZKOWY SPRZĘT BEZPIECZEŃSTWA DLA JEŹDŹCA</w:t>
      </w:r>
    </w:p>
    <w:p w14:paraId="7438074D" w14:textId="77777777" w:rsidR="001E1FC8" w:rsidRDefault="001E1FC8" w:rsidP="000D1905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IV.15.1. Rama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ochronna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jest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wymagana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ale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jeśli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jest 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</w:rPr>
        <w:t>zamontowana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obowiązkowo</w:t>
      </w:r>
      <w:proofErr w:type="spellEnd"/>
      <w:proofErr w:type="gram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 </w:t>
      </w:r>
      <w:r>
        <w:rPr>
          <w:rFonts w:ascii="Calibri" w:hAnsi="Calibri" w:cs="Calibri"/>
          <w:color w:val="000000"/>
          <w:sz w:val="22"/>
          <w:szCs w:val="22"/>
        </w:rPr>
        <w:t xml:space="preserve">jest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zachowanie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oryginalnego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wzmocnienia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drzwiach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kierowcy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pasażera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Drzwi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kierowcy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będą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wyposażone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oryginalną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tapicerkę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lub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osłonę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bez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ostrych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krawędzi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z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możliwością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przejścia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247CF8B4" w14:textId="77777777" w:rsidR="001E1FC8" w:rsidRDefault="001E1FC8" w:rsidP="000D1905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 xml:space="preserve">IV.15.2.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Jeśli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jest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zamontowana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—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rama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ochronna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klatki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—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powinna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być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zaprojektowana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tak, aby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chronić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pasażerów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 razie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wypadku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695DE23C" w14:textId="77777777" w:rsidR="001E1FC8" w:rsidRDefault="001E1FC8" w:rsidP="000D1905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Rama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bezpieczeństwa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musi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być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wykonana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bezszwowowych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stalowych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rur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kształt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mocowanie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muszą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odpowiadać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dowolnym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pokazanych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ujęć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Musi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być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wykonany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zgodnie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specyfikacją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FIA "J"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dla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współczesnych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pojazdów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51BD17A0" w14:textId="77777777" w:rsidR="001E1FC8" w:rsidRDefault="001E1FC8" w:rsidP="000D1905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  <w:u w:val="single"/>
        </w:rPr>
        <w:t>Podstawowa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  <w:u w:val="single"/>
        </w:rPr>
        <w:t>rama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  <w:u w:val="single"/>
        </w:rPr>
        <w:t>bezpieczeństwa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  <w:u w:val="single"/>
        </w:rPr>
        <w:t>:</w:t>
      </w:r>
    </w:p>
    <w:p w14:paraId="71B1AB33" w14:textId="77777777" w:rsidR="001E1FC8" w:rsidRDefault="001E1FC8" w:rsidP="001E1FC8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52BD4A55" w14:textId="77777777" w:rsidR="001E1FC8" w:rsidRDefault="001E1FC8" w:rsidP="008B4065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 xml:space="preserve">IV.15.3.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Rozłącznik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elektryczny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nie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jest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obowiązkowy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lecz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zalecany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zarówno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sterowany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od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środka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jak i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z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zewnątrz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gdzie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oznaczony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jest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niebieskim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trójkątem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czerwonym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błyskawicą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Trzeba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go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podłączyć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żeby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wyłączyć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działający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silnik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tylko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odłączyć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akumulator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42D98DA0" w14:textId="77777777" w:rsidR="001E1FC8" w:rsidRDefault="001E1FC8" w:rsidP="008B4065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2F1AF86F" w14:textId="77777777" w:rsidR="001E1FC8" w:rsidRDefault="001E1FC8" w:rsidP="008B4065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 xml:space="preserve">IV.15.4.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Anatomiczne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foteliki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sportowe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nie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są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obowiązkowe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, ale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zaleca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się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posiadanie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pasów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bezpieczeństwa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na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cztery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sześciu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punktów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obowiązkową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homologacją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FIA (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nawet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wygasłą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).  Punkty do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mocowania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ciała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dwa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do pasa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biodrowego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dwa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lub jeden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symetryczny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z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siodełkiem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na pasy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naramienne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ZABRONIONE </w:t>
      </w:r>
      <w:r>
        <w:rPr>
          <w:rFonts w:ascii="Calibri" w:hAnsi="Calibri" w:cs="Calibri"/>
          <w:color w:val="000000"/>
          <w:sz w:val="22"/>
          <w:szCs w:val="22"/>
        </w:rPr>
        <w:t xml:space="preserve">jest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przypinanie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pasów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bezpieczeństwa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fotelików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lub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uchwytów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38B994D7" w14:textId="77777777" w:rsidR="001E1FC8" w:rsidRDefault="001E1FC8" w:rsidP="008B4065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 xml:space="preserve">IV.15.5.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Funkcjonalna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gaśnica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masie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2 kg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zamocowana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tak, aby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wytrzymała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przeciążenie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przypadku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uderzenia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pojazdu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Jednocześnie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musi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być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przymocowany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taki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sposób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aby w razie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potrzeby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można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go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było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zwolnić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bez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użycia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narzędzi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 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Przez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płatny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test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powtórkowy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!!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Zalecamy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system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gaśniczy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45834A49" w14:textId="77777777" w:rsidR="001E1FC8" w:rsidRDefault="001E1FC8" w:rsidP="006E23A2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lastRenderedPageBreak/>
        <w:t xml:space="preserve">IV.15.6.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Wyposażenie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jeźdźca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–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kask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homologowany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do ruchu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drogowego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ogrodniczki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rękawice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pełnym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palcem,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zamknięte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buty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Zalecamy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niepalną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bieliznę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58C5BEB7" w14:textId="77777777" w:rsidR="001E1FC8" w:rsidRDefault="001E1FC8" w:rsidP="006E23A2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 xml:space="preserve">IV.15.6. </w:t>
      </w:r>
      <w:r>
        <w:rPr>
          <w:rFonts w:ascii="Calibri" w:hAnsi="Calibri" w:cs="Calibri"/>
          <w:color w:val="000000"/>
          <w:sz w:val="22"/>
          <w:szCs w:val="22"/>
        </w:rPr>
        <w:t xml:space="preserve">Oko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holownicze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oznaczone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czerwoną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strzałką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przodu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 z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tyłu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35325769" w14:textId="77777777" w:rsidR="001E1FC8" w:rsidRDefault="001E1FC8" w:rsidP="006E23A2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67502452" w14:textId="77777777" w:rsidR="001E1FC8" w:rsidRDefault="001E1FC8" w:rsidP="006E23A2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CO JEST NIEDOZWOLONE, JEST ZABRONIONE!!</w:t>
      </w:r>
    </w:p>
    <w:p w14:paraId="088E3B14" w14:textId="77777777" w:rsidR="001E1FC8" w:rsidRDefault="001E1FC8" w:rsidP="006E23A2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537D2736" w14:textId="77777777" w:rsidR="001E1FC8" w:rsidRDefault="001E1FC8" w:rsidP="006E23A2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Organizator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zastrzega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sobie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prawo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do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przekazania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pojazdu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innej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grupie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po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przeglądzie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technicznym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Organizator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zastrzega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sobie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również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prawo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do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zmiany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lub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uzupełniania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przepisów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technicznych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w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dowolnym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momencie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sezonu, a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zmiana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ta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zawsze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będzie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ogłoszona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z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wyprzedzeniem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poprzez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poprawkę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.</w:t>
      </w:r>
    </w:p>
    <w:p w14:paraId="03561E42" w14:textId="77777777" w:rsidR="001E1FC8" w:rsidRDefault="001E1FC8" w:rsidP="006E23A2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19D38313" w14:textId="77777777" w:rsidR="001E1FC8" w:rsidRDefault="001E1FC8" w:rsidP="006E23A2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Jeśli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jest to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konieczne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lub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niejasne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zadzwoń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do </w:t>
      </w:r>
      <w:proofErr w:type="spellStart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organizatora</w:t>
      </w:r>
      <w:proofErr w:type="spellEnd"/>
      <w:r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+420 608 967 185, +420 608 919 010</w:t>
      </w:r>
    </w:p>
    <w:p w14:paraId="6258331C" w14:textId="77777777" w:rsidR="001E1FC8" w:rsidRDefault="001E1FC8" w:rsidP="006E23A2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7BC2BF32" w14:textId="77777777" w:rsidR="001E1FC8" w:rsidRDefault="001E1FC8" w:rsidP="001E1FC8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792DE363" w14:textId="77777777" w:rsidR="001E1FC8" w:rsidRDefault="001E1FC8" w:rsidP="001E1FC8">
      <w:pPr>
        <w:pStyle w:val="Normln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70794153" w14:textId="77777777" w:rsidR="001E1FC8" w:rsidRDefault="001E1FC8" w:rsidP="001E1FC8"/>
    <w:p w14:paraId="2A8F7DE8" w14:textId="77777777" w:rsidR="00436611" w:rsidRDefault="00436611"/>
    <w:sectPr w:rsidR="00436611" w:rsidSect="001E1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C8"/>
    <w:rsid w:val="001E1FC8"/>
    <w:rsid w:val="00436611"/>
    <w:rsid w:val="007A3429"/>
    <w:rsid w:val="00876A6D"/>
    <w:rsid w:val="00D84B63"/>
    <w:rsid w:val="00D9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403A07"/>
  <w15:chartTrackingRefBased/>
  <w15:docId w15:val="{C83105B8-5427-0549-8195-4DCADA86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1FC8"/>
  </w:style>
  <w:style w:type="paragraph" w:styleId="Nadpis1">
    <w:name w:val="heading 1"/>
    <w:basedOn w:val="Normln"/>
    <w:next w:val="Normln"/>
    <w:link w:val="Nadpis1Char"/>
    <w:uiPriority w:val="9"/>
    <w:qFormat/>
    <w:rsid w:val="001E1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1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1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1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1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1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1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1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1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1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1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1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1FC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1FC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1F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1F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1F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1F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1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1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1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1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1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1F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1F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1FC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1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1FC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1FC8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1E1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1E1FC8"/>
    <w:rPr>
      <w:b/>
      <w:bCs/>
    </w:rPr>
  </w:style>
  <w:style w:type="character" w:customStyle="1" w:styleId="apple-converted-space">
    <w:name w:val="apple-converted-space"/>
    <w:basedOn w:val="Standardnpsmoodstavce"/>
    <w:rsid w:val="001E1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1400</Words>
  <Characters>8265</Characters>
  <Application>Microsoft Office Word</Application>
  <DocSecurity>0</DocSecurity>
  <Lines>68</Lines>
  <Paragraphs>19</Paragraphs>
  <ScaleCrop>false</ScaleCrop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Štěpán</dc:creator>
  <cp:keywords/>
  <dc:description/>
  <cp:lastModifiedBy>Matěj Štěpán</cp:lastModifiedBy>
  <cp:revision>1</cp:revision>
  <dcterms:created xsi:type="dcterms:W3CDTF">2026-05-09T15:18:00Z</dcterms:created>
  <dcterms:modified xsi:type="dcterms:W3CDTF">2026-05-09T15:23:00Z</dcterms:modified>
</cp:coreProperties>
</file>